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04AC8" w14:textId="10772729" w:rsidR="00A2646B" w:rsidRDefault="00007C0F" w:rsidP="005A56FA">
      <w:r>
        <w:t>Past performance can get us in trouble</w:t>
      </w:r>
      <w:r w:rsidR="00532241">
        <w:t xml:space="preserve"> in so many ways</w:t>
      </w:r>
      <w:r>
        <w:t>.</w:t>
      </w:r>
    </w:p>
    <w:p w14:paraId="1AB7DDF3" w14:textId="77777777" w:rsidR="00CC26C1" w:rsidRDefault="00CC26C1" w:rsidP="005A56FA">
      <w:r>
        <w:tab/>
        <w:t>Let’s say you bought an investment for $10,000 and it is currently worth $7,000.</w:t>
      </w:r>
    </w:p>
    <w:p w14:paraId="48FED1AE" w14:textId="14668AB7" w:rsidR="00CC26C1" w:rsidRDefault="00CC26C1" w:rsidP="005A56FA">
      <w:r>
        <w:tab/>
      </w:r>
      <w:proofErr w:type="gramStart"/>
      <w:r w:rsidR="005B1119">
        <w:t>Buyer’s</w:t>
      </w:r>
      <w:proofErr w:type="gramEnd"/>
      <w:r w:rsidR="005B1119">
        <w:t xml:space="preserve"> remorse is understandable, but s</w:t>
      </w:r>
      <w:r w:rsidR="005209F1">
        <w:t xml:space="preserve">ome investors </w:t>
      </w:r>
      <w:r>
        <w:t xml:space="preserve">might </w:t>
      </w:r>
      <w:r w:rsidR="005B1119">
        <w:t xml:space="preserve">therefore avoid </w:t>
      </w:r>
      <w:r>
        <w:t>sell</w:t>
      </w:r>
      <w:r w:rsidR="005B1119">
        <w:t xml:space="preserve">ing as this would </w:t>
      </w:r>
      <w:r w:rsidR="005209F1">
        <w:t xml:space="preserve">confirm </w:t>
      </w:r>
      <w:r w:rsidR="00A3507D">
        <w:t>the</w:t>
      </w:r>
      <w:r w:rsidR="005B1119">
        <w:t xml:space="preserve"> </w:t>
      </w:r>
      <w:r>
        <w:t>loss.</w:t>
      </w:r>
    </w:p>
    <w:p w14:paraId="0FAE2B66" w14:textId="32E99C66" w:rsidR="00CC26C1" w:rsidRDefault="00CC26C1" w:rsidP="005A56FA">
      <w:r>
        <w:tab/>
      </w:r>
      <w:r w:rsidR="005209F1">
        <w:t xml:space="preserve">If they wait, </w:t>
      </w:r>
      <w:r w:rsidR="005B1119">
        <w:t xml:space="preserve">the thinking seems to go, </w:t>
      </w:r>
      <w:r w:rsidR="005209F1">
        <w:t xml:space="preserve">the </w:t>
      </w:r>
      <w:r w:rsidR="00A3507D">
        <w:t xml:space="preserve">value </w:t>
      </w:r>
      <w:r w:rsidR="005209F1">
        <w:t xml:space="preserve">may get </w:t>
      </w:r>
      <w:r>
        <w:t>back to</w:t>
      </w:r>
      <w:r w:rsidR="005209F1">
        <w:t xml:space="preserve"> </w:t>
      </w:r>
      <w:r>
        <w:t xml:space="preserve">$10,000 </w:t>
      </w:r>
      <w:r w:rsidR="005209F1">
        <w:t>at which point they can sell and at least break even.</w:t>
      </w:r>
    </w:p>
    <w:p w14:paraId="75186AE2" w14:textId="3A63BBA9" w:rsidR="00CC26C1" w:rsidRDefault="00CC26C1" w:rsidP="005A56FA">
      <w:r>
        <w:tab/>
      </w:r>
      <w:r w:rsidR="00971E12">
        <w:t>Here’s the p</w:t>
      </w:r>
      <w:r>
        <w:t xml:space="preserve">roblem </w:t>
      </w:r>
      <w:r w:rsidR="00971E12">
        <w:t>with this understandable</w:t>
      </w:r>
      <w:r w:rsidR="00421119">
        <w:t xml:space="preserve">, </w:t>
      </w:r>
      <w:r w:rsidR="00971E12">
        <w:t>emotional approach:</w:t>
      </w:r>
      <w:r>
        <w:t xml:space="preserve"> </w:t>
      </w:r>
      <w:r w:rsidR="00781E82">
        <w:t>your purchase price is irrelevant to other</w:t>
      </w:r>
      <w:r w:rsidR="00971E12">
        <w:t xml:space="preserve"> investors</w:t>
      </w:r>
      <w:r w:rsidR="00781E82">
        <w:t>.</w:t>
      </w:r>
    </w:p>
    <w:p w14:paraId="0A03B2B2" w14:textId="42B3D3C7" w:rsidR="001E0941" w:rsidRDefault="00CC26C1" w:rsidP="005A56FA">
      <w:r>
        <w:tab/>
        <w:t>And it is ‘other investors’ who</w:t>
      </w:r>
      <w:r w:rsidR="00532241">
        <w:t xml:space="preserve"> determine the value of your investment</w:t>
      </w:r>
      <w:r w:rsidR="001E0941">
        <w:t>.</w:t>
      </w:r>
    </w:p>
    <w:p w14:paraId="4EF0F414" w14:textId="51677C82" w:rsidR="001E0941" w:rsidRDefault="001E0941" w:rsidP="005A56FA">
      <w:r>
        <w:tab/>
        <w:t xml:space="preserve">This is an example of anchoring </w:t>
      </w:r>
      <w:r w:rsidR="00421119">
        <w:t xml:space="preserve">where the investor bases her decision on a personal </w:t>
      </w:r>
      <w:r>
        <w:t>data point (</w:t>
      </w:r>
      <w:r w:rsidR="00421119">
        <w:t>her cost</w:t>
      </w:r>
      <w:r>
        <w:t>).</w:t>
      </w:r>
    </w:p>
    <w:p w14:paraId="4AA64F0B" w14:textId="45F76D63" w:rsidR="001E0941" w:rsidRDefault="001E0941" w:rsidP="005A56FA">
      <w:r>
        <w:tab/>
        <w:t>(</w:t>
      </w:r>
      <w:r w:rsidR="005209F1">
        <w:t xml:space="preserve">A </w:t>
      </w:r>
      <w:r>
        <w:t>near cousin</w:t>
      </w:r>
      <w:r w:rsidR="005209F1">
        <w:t xml:space="preserve"> of anchoring </w:t>
      </w:r>
      <w:r>
        <w:t xml:space="preserve">is the sunk cost fallacy where, for example, a municipality feels it </w:t>
      </w:r>
      <w:r w:rsidR="00781E82">
        <w:t xml:space="preserve">must </w:t>
      </w:r>
      <w:r>
        <w:t xml:space="preserve">complete a bridge project even though </w:t>
      </w:r>
      <w:r w:rsidR="002D0B48">
        <w:t>the added expense exceed</w:t>
      </w:r>
      <w:r w:rsidR="005B1119">
        <w:t>s</w:t>
      </w:r>
      <w:r w:rsidR="002D0B48">
        <w:t xml:space="preserve"> the value of the finished project </w:t>
      </w:r>
      <w:r>
        <w:t>simply because “we’ve already invested so much in this bridge”.)</w:t>
      </w:r>
    </w:p>
    <w:p w14:paraId="7B4532B6" w14:textId="77777777" w:rsidR="001E0941" w:rsidRDefault="001E0941" w:rsidP="005A56FA">
      <w:r>
        <w:tab/>
        <w:t>The data point that matters a lot to you, the amount you paid, matters not at all to others.</w:t>
      </w:r>
    </w:p>
    <w:p w14:paraId="0E197525" w14:textId="55FD56B6" w:rsidR="00007C0F" w:rsidRDefault="001E0941" w:rsidP="005A56FA">
      <w:r>
        <w:tab/>
        <w:t xml:space="preserve">After all, </w:t>
      </w:r>
      <w:r w:rsidR="00A3507D">
        <w:t>w</w:t>
      </w:r>
      <w:r>
        <w:t>ould you pay more to someone because they did</w:t>
      </w:r>
      <w:r w:rsidR="00BA24BD">
        <w:t>?</w:t>
      </w:r>
      <w:r>
        <w:t xml:space="preserve"> </w:t>
      </w:r>
    </w:p>
    <w:p w14:paraId="745E8351" w14:textId="2D64F8EE" w:rsidR="001108CA" w:rsidRDefault="00A3507D" w:rsidP="005A56FA">
      <w:r>
        <w:tab/>
        <w:t xml:space="preserve">When it comes to investing, I encourage you to follow a discipline where your own spending plan directs how you invest. </w:t>
      </w:r>
    </w:p>
    <w:p w14:paraId="2FAEC398" w14:textId="38B013C2" w:rsidR="00A3507D" w:rsidRDefault="00A3507D" w:rsidP="005A56FA">
      <w:r>
        <w:tab/>
        <w:t>Then, if you have a reasonably sized fixed income buffer for near-term withdrawals, you may be able to resist behavioral mistakes like anchoring.</w:t>
      </w:r>
    </w:p>
    <w:p w14:paraId="088F4516" w14:textId="343EA2D4" w:rsidR="00A3507D" w:rsidRDefault="00A3507D" w:rsidP="005A56FA">
      <w:r>
        <w:tab/>
        <w:t>Good luck.</w:t>
      </w:r>
    </w:p>
    <w:p w14:paraId="46ABE76B" w14:textId="77777777" w:rsidR="00EC7062" w:rsidRDefault="00EC7062" w:rsidP="005A56FA"/>
    <w:p w14:paraId="4B04E7C2" w14:textId="163BE734" w:rsidR="00823A63" w:rsidRDefault="00823A63" w:rsidP="005A56FA">
      <w:r>
        <w:tab/>
      </w:r>
    </w:p>
    <w:p w14:paraId="62C258D3" w14:textId="77777777" w:rsidR="005A56FA" w:rsidRDefault="005A56FA" w:rsidP="005A56FA"/>
    <w:p w14:paraId="4A0487C5" w14:textId="77777777" w:rsidR="005A56FA" w:rsidRDefault="005A56FA" w:rsidP="005A56FA">
      <w:pPr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>Jorgen Vik, CFP®</w:t>
      </w:r>
    </w:p>
    <w:p w14:paraId="2AD96F34" w14:textId="77777777" w:rsidR="005A56FA" w:rsidRDefault="005A56FA" w:rsidP="005A56FA">
      <w:pPr>
        <w:rPr>
          <w:color w:val="2E74B5"/>
        </w:rPr>
      </w:pPr>
      <w:r>
        <w:rPr>
          <w:color w:val="2E74B5"/>
        </w:rPr>
        <w:t>CERTIFIED FINANCIAL PLANNER™</w:t>
      </w:r>
    </w:p>
    <w:p w14:paraId="728BE12C" w14:textId="77777777" w:rsidR="005A56FA" w:rsidRDefault="005A56FA" w:rsidP="005A56FA">
      <w:pPr>
        <w:rPr>
          <w:color w:val="2E74B5"/>
        </w:rPr>
      </w:pPr>
      <w:r>
        <w:rPr>
          <w:color w:val="2E74B5"/>
        </w:rPr>
        <w:t>Partner</w:t>
      </w:r>
    </w:p>
    <w:p w14:paraId="7B4A5987" w14:textId="77777777" w:rsidR="005A56FA" w:rsidRDefault="005A56FA" w:rsidP="005A56FA">
      <w:pPr>
        <w:rPr>
          <w:color w:val="2E74B5"/>
        </w:rPr>
      </w:pPr>
      <w:r>
        <w:rPr>
          <w:color w:val="2E74B5"/>
        </w:rPr>
        <w:t>SKV Group, LLC</w:t>
      </w:r>
    </w:p>
    <w:p w14:paraId="11C2F864" w14:textId="77777777" w:rsidR="005A56FA" w:rsidRDefault="005A56FA" w:rsidP="005A56FA"/>
    <w:p w14:paraId="2D437356" w14:textId="77777777" w:rsidR="005A56FA" w:rsidRPr="00824649" w:rsidRDefault="005A56FA" w:rsidP="005A56FA">
      <w:pPr>
        <w:rPr>
          <w:i/>
          <w:sz w:val="18"/>
          <w:szCs w:val="18"/>
          <w:lang w:val="en"/>
        </w:rPr>
      </w:pPr>
      <w:r w:rsidRPr="00824649">
        <w:rPr>
          <w:i/>
          <w:sz w:val="18"/>
          <w:szCs w:val="18"/>
          <w:lang w:val="en"/>
        </w:rPr>
        <w:t>Wells Fargo Advisors Financial Network did not assist in the preparation of this report, and its accuracy and completeness are not</w:t>
      </w:r>
      <w:r>
        <w:rPr>
          <w:i/>
          <w:sz w:val="18"/>
          <w:szCs w:val="18"/>
          <w:lang w:val="en"/>
        </w:rPr>
        <w:t xml:space="preserve"> </w:t>
      </w:r>
      <w:r w:rsidRPr="00824649">
        <w:rPr>
          <w:i/>
          <w:sz w:val="18"/>
          <w:szCs w:val="18"/>
          <w:lang w:val="en"/>
        </w:rPr>
        <w:t>guaranteed. The opinions expressed in this report are those of the author(s) and are not necessarily those of Wells Fargo Advisor</w:t>
      </w:r>
      <w:r>
        <w:rPr>
          <w:i/>
          <w:sz w:val="18"/>
          <w:szCs w:val="18"/>
          <w:lang w:val="en"/>
        </w:rPr>
        <w:t xml:space="preserve"> </w:t>
      </w:r>
      <w:r w:rsidRPr="00824649">
        <w:rPr>
          <w:i/>
          <w:sz w:val="18"/>
          <w:szCs w:val="18"/>
          <w:lang w:val="en"/>
        </w:rPr>
        <w:t>Financial Network or its affiliates. The material has been prepared or is distributed solely for information purposes and is not a</w:t>
      </w:r>
      <w:r>
        <w:rPr>
          <w:i/>
          <w:sz w:val="18"/>
          <w:szCs w:val="18"/>
          <w:lang w:val="en"/>
        </w:rPr>
        <w:t xml:space="preserve"> </w:t>
      </w:r>
      <w:r w:rsidRPr="00824649">
        <w:rPr>
          <w:i/>
          <w:sz w:val="18"/>
          <w:szCs w:val="18"/>
          <w:lang w:val="en"/>
        </w:rPr>
        <w:t>solicitation or an offer to buy any security or instrument or to participate in any trading strategy.</w:t>
      </w:r>
    </w:p>
    <w:sectPr w:rsidR="005A56FA" w:rsidRPr="00824649" w:rsidSect="00CC5CCA">
      <w:headerReference w:type="default" r:id="rId7"/>
      <w:footerReference w:type="default" r:id="rId8"/>
      <w:pgSz w:w="12240" w:h="15840"/>
      <w:pgMar w:top="1440" w:right="1440" w:bottom="1440" w:left="1440" w:header="387" w:footer="1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6AB46" w14:textId="77777777" w:rsidR="003E2C80" w:rsidRDefault="003E2C80" w:rsidP="00936E30">
      <w:r>
        <w:separator/>
      </w:r>
    </w:p>
  </w:endnote>
  <w:endnote w:type="continuationSeparator" w:id="0">
    <w:p w14:paraId="7DB6397D" w14:textId="77777777" w:rsidR="003E2C80" w:rsidRDefault="003E2C80" w:rsidP="0093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50B5E" w14:textId="77777777" w:rsidR="00936E30" w:rsidRDefault="00B73749" w:rsidP="00B73749">
    <w:pPr>
      <w:pStyle w:val="Footer"/>
      <w:tabs>
        <w:tab w:val="left" w:pos="270"/>
      </w:tabs>
      <w:ind w:left="-1440"/>
    </w:pPr>
    <w:r w:rsidRPr="00B73749">
      <w:rPr>
        <w:noProof/>
      </w:rPr>
      <w:drawing>
        <wp:inline distT="0" distB="0" distL="0" distR="0" wp14:anchorId="601AB677" wp14:editId="7BD6E4D2">
          <wp:extent cx="8576250" cy="751216"/>
          <wp:effectExtent l="0" t="0" r="9525" b="1079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5698" cy="752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C1C83F" w14:textId="77777777" w:rsidR="00F2009D" w:rsidRPr="002B460D" w:rsidRDefault="002B460D" w:rsidP="0093196F">
    <w:pPr>
      <w:pStyle w:val="Footer"/>
      <w:ind w:left="-1440"/>
      <w:jc w:val="center"/>
      <w:rPr>
        <w:color w:val="808080" w:themeColor="background1" w:themeShade="80"/>
        <w:sz w:val="14"/>
        <w:szCs w:val="14"/>
      </w:rPr>
    </w:pPr>
    <w:r w:rsidRPr="002B460D">
      <w:rPr>
        <w:color w:val="808080" w:themeColor="background1" w:themeShade="80"/>
        <w:sz w:val="14"/>
        <w:szCs w:val="14"/>
      </w:rPr>
      <w:t>Investment Products and services are offered through Wells Fargo Advisors Financial Network, LLC (WFAFN). Member SIPC, SKV Group is a separate entity from WFAFN.</w:t>
    </w:r>
  </w:p>
  <w:p w14:paraId="492C1471" w14:textId="77777777" w:rsidR="00B8763C" w:rsidRDefault="00B8763C" w:rsidP="0093196F">
    <w:pPr>
      <w:pStyle w:val="Footer"/>
      <w:ind w:left="-14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B7D7A" w14:textId="77777777" w:rsidR="003E2C80" w:rsidRDefault="003E2C80" w:rsidP="00936E30">
      <w:r>
        <w:separator/>
      </w:r>
    </w:p>
  </w:footnote>
  <w:footnote w:type="continuationSeparator" w:id="0">
    <w:p w14:paraId="4B55ECD4" w14:textId="77777777" w:rsidR="003E2C80" w:rsidRDefault="003E2C80" w:rsidP="0093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E85D" w14:textId="77777777" w:rsidR="00936E30" w:rsidRDefault="00936E30" w:rsidP="00774F8E">
    <w:pPr>
      <w:pStyle w:val="Header"/>
      <w:ind w:left="-1440"/>
      <w:jc w:val="center"/>
    </w:pPr>
    <w:r w:rsidRPr="00936E30">
      <w:rPr>
        <w:noProof/>
      </w:rPr>
      <w:drawing>
        <wp:inline distT="0" distB="0" distL="0" distR="0" wp14:anchorId="1B63AE5F" wp14:editId="5A2532CD">
          <wp:extent cx="2352740" cy="947631"/>
          <wp:effectExtent l="0" t="0" r="952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8509" cy="95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53A15"/>
    <w:multiLevelType w:val="hybridMultilevel"/>
    <w:tmpl w:val="E52E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630E"/>
    <w:multiLevelType w:val="hybridMultilevel"/>
    <w:tmpl w:val="BD60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D7C76"/>
    <w:multiLevelType w:val="hybridMultilevel"/>
    <w:tmpl w:val="06CE5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A6F0D"/>
    <w:multiLevelType w:val="hybridMultilevel"/>
    <w:tmpl w:val="2B64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511200">
    <w:abstractNumId w:val="0"/>
  </w:num>
  <w:num w:numId="2" w16cid:durableId="1969508830">
    <w:abstractNumId w:val="1"/>
  </w:num>
  <w:num w:numId="3" w16cid:durableId="438335045">
    <w:abstractNumId w:val="3"/>
  </w:num>
  <w:num w:numId="4" w16cid:durableId="1347365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E30"/>
    <w:rsid w:val="00000B8E"/>
    <w:rsid w:val="000018E4"/>
    <w:rsid w:val="00004DE7"/>
    <w:rsid w:val="00007C0F"/>
    <w:rsid w:val="0005223D"/>
    <w:rsid w:val="00054712"/>
    <w:rsid w:val="00080F14"/>
    <w:rsid w:val="000872C5"/>
    <w:rsid w:val="00087F07"/>
    <w:rsid w:val="000A50CF"/>
    <w:rsid w:val="000A6CB0"/>
    <w:rsid w:val="000B720D"/>
    <w:rsid w:val="000C5B08"/>
    <w:rsid w:val="000D33F4"/>
    <w:rsid w:val="000D621F"/>
    <w:rsid w:val="000F169E"/>
    <w:rsid w:val="000F36C4"/>
    <w:rsid w:val="00100659"/>
    <w:rsid w:val="001108CA"/>
    <w:rsid w:val="0011205C"/>
    <w:rsid w:val="00121CA0"/>
    <w:rsid w:val="0012589A"/>
    <w:rsid w:val="001273B9"/>
    <w:rsid w:val="00131BC2"/>
    <w:rsid w:val="00132116"/>
    <w:rsid w:val="00133158"/>
    <w:rsid w:val="00151A3B"/>
    <w:rsid w:val="00172E8A"/>
    <w:rsid w:val="001731E6"/>
    <w:rsid w:val="001737A7"/>
    <w:rsid w:val="00194D6B"/>
    <w:rsid w:val="00195EBF"/>
    <w:rsid w:val="001B4651"/>
    <w:rsid w:val="001C2761"/>
    <w:rsid w:val="001C6A5B"/>
    <w:rsid w:val="001E0941"/>
    <w:rsid w:val="001E6366"/>
    <w:rsid w:val="00204935"/>
    <w:rsid w:val="002143C0"/>
    <w:rsid w:val="002246DE"/>
    <w:rsid w:val="0023133E"/>
    <w:rsid w:val="00234A72"/>
    <w:rsid w:val="0023582E"/>
    <w:rsid w:val="00242CA0"/>
    <w:rsid w:val="0025540E"/>
    <w:rsid w:val="002625A0"/>
    <w:rsid w:val="002650DA"/>
    <w:rsid w:val="0026526A"/>
    <w:rsid w:val="00280086"/>
    <w:rsid w:val="002907D2"/>
    <w:rsid w:val="00297ACA"/>
    <w:rsid w:val="002A2663"/>
    <w:rsid w:val="002B460D"/>
    <w:rsid w:val="002B793C"/>
    <w:rsid w:val="002C1D3B"/>
    <w:rsid w:val="002C4894"/>
    <w:rsid w:val="002C5C13"/>
    <w:rsid w:val="002C75D6"/>
    <w:rsid w:val="002D0B48"/>
    <w:rsid w:val="002D46C4"/>
    <w:rsid w:val="002D7AD0"/>
    <w:rsid w:val="002F7138"/>
    <w:rsid w:val="00314763"/>
    <w:rsid w:val="00337A9D"/>
    <w:rsid w:val="00352DB6"/>
    <w:rsid w:val="00375153"/>
    <w:rsid w:val="003901E5"/>
    <w:rsid w:val="003B57F8"/>
    <w:rsid w:val="003C40C1"/>
    <w:rsid w:val="003D5D8B"/>
    <w:rsid w:val="003E2C80"/>
    <w:rsid w:val="003E376C"/>
    <w:rsid w:val="003F5A31"/>
    <w:rsid w:val="003F7329"/>
    <w:rsid w:val="003F799E"/>
    <w:rsid w:val="00417407"/>
    <w:rsid w:val="00420460"/>
    <w:rsid w:val="00421119"/>
    <w:rsid w:val="00421437"/>
    <w:rsid w:val="00423082"/>
    <w:rsid w:val="0042405F"/>
    <w:rsid w:val="004274A0"/>
    <w:rsid w:val="00433F22"/>
    <w:rsid w:val="00436261"/>
    <w:rsid w:val="00443144"/>
    <w:rsid w:val="0044556F"/>
    <w:rsid w:val="00445DFA"/>
    <w:rsid w:val="004552BA"/>
    <w:rsid w:val="00462CDC"/>
    <w:rsid w:val="00463033"/>
    <w:rsid w:val="0046484C"/>
    <w:rsid w:val="0046542F"/>
    <w:rsid w:val="00467C8D"/>
    <w:rsid w:val="00467F91"/>
    <w:rsid w:val="00470711"/>
    <w:rsid w:val="0047685C"/>
    <w:rsid w:val="0048083C"/>
    <w:rsid w:val="00485D62"/>
    <w:rsid w:val="004B3F4D"/>
    <w:rsid w:val="004D4D18"/>
    <w:rsid w:val="004D7573"/>
    <w:rsid w:val="004E5ED7"/>
    <w:rsid w:val="00506FE4"/>
    <w:rsid w:val="00516E17"/>
    <w:rsid w:val="005209F1"/>
    <w:rsid w:val="00521B0B"/>
    <w:rsid w:val="0052438F"/>
    <w:rsid w:val="00525EA8"/>
    <w:rsid w:val="00530976"/>
    <w:rsid w:val="00532241"/>
    <w:rsid w:val="0053529C"/>
    <w:rsid w:val="00535C21"/>
    <w:rsid w:val="00536182"/>
    <w:rsid w:val="00546412"/>
    <w:rsid w:val="005466BA"/>
    <w:rsid w:val="0054672A"/>
    <w:rsid w:val="0055600E"/>
    <w:rsid w:val="00557023"/>
    <w:rsid w:val="00564883"/>
    <w:rsid w:val="005908CC"/>
    <w:rsid w:val="00597AFE"/>
    <w:rsid w:val="005A56FA"/>
    <w:rsid w:val="005B1119"/>
    <w:rsid w:val="005B7F75"/>
    <w:rsid w:val="005B7F93"/>
    <w:rsid w:val="005C51FE"/>
    <w:rsid w:val="005D3AC4"/>
    <w:rsid w:val="005E1CED"/>
    <w:rsid w:val="005E4DE2"/>
    <w:rsid w:val="005F4660"/>
    <w:rsid w:val="00600780"/>
    <w:rsid w:val="006066E1"/>
    <w:rsid w:val="00613622"/>
    <w:rsid w:val="006151D8"/>
    <w:rsid w:val="0063243D"/>
    <w:rsid w:val="0063509B"/>
    <w:rsid w:val="006659BA"/>
    <w:rsid w:val="00680D43"/>
    <w:rsid w:val="006911F2"/>
    <w:rsid w:val="006B31AB"/>
    <w:rsid w:val="006B3BFC"/>
    <w:rsid w:val="006C75B4"/>
    <w:rsid w:val="006D263A"/>
    <w:rsid w:val="006E290E"/>
    <w:rsid w:val="006E371A"/>
    <w:rsid w:val="006F2E6B"/>
    <w:rsid w:val="007201F1"/>
    <w:rsid w:val="00733E62"/>
    <w:rsid w:val="00740568"/>
    <w:rsid w:val="00753454"/>
    <w:rsid w:val="0075443F"/>
    <w:rsid w:val="007635D8"/>
    <w:rsid w:val="00772321"/>
    <w:rsid w:val="00774F8E"/>
    <w:rsid w:val="00776043"/>
    <w:rsid w:val="00781042"/>
    <w:rsid w:val="00781E82"/>
    <w:rsid w:val="00785A3E"/>
    <w:rsid w:val="007A1EF4"/>
    <w:rsid w:val="007A36B4"/>
    <w:rsid w:val="007B2365"/>
    <w:rsid w:val="007B4972"/>
    <w:rsid w:val="007C5399"/>
    <w:rsid w:val="007D19B1"/>
    <w:rsid w:val="007D479E"/>
    <w:rsid w:val="007D509F"/>
    <w:rsid w:val="007D55ED"/>
    <w:rsid w:val="007D75AC"/>
    <w:rsid w:val="007E6A6E"/>
    <w:rsid w:val="007F7F64"/>
    <w:rsid w:val="00804024"/>
    <w:rsid w:val="00823A63"/>
    <w:rsid w:val="0083556F"/>
    <w:rsid w:val="00846BC9"/>
    <w:rsid w:val="00855041"/>
    <w:rsid w:val="00862F67"/>
    <w:rsid w:val="00875270"/>
    <w:rsid w:val="008775EF"/>
    <w:rsid w:val="00881760"/>
    <w:rsid w:val="0088444B"/>
    <w:rsid w:val="008861E1"/>
    <w:rsid w:val="00892131"/>
    <w:rsid w:val="008B38E1"/>
    <w:rsid w:val="008C386A"/>
    <w:rsid w:val="009026E7"/>
    <w:rsid w:val="00921EDA"/>
    <w:rsid w:val="009253B7"/>
    <w:rsid w:val="0093196F"/>
    <w:rsid w:val="00936E30"/>
    <w:rsid w:val="00955FCC"/>
    <w:rsid w:val="00960D37"/>
    <w:rsid w:val="00971219"/>
    <w:rsid w:val="00971985"/>
    <w:rsid w:val="00971E12"/>
    <w:rsid w:val="00972885"/>
    <w:rsid w:val="00975F54"/>
    <w:rsid w:val="009817E7"/>
    <w:rsid w:val="009858F4"/>
    <w:rsid w:val="00994E1D"/>
    <w:rsid w:val="00997D29"/>
    <w:rsid w:val="009A1632"/>
    <w:rsid w:val="009C23D0"/>
    <w:rsid w:val="009E4B32"/>
    <w:rsid w:val="009F7A94"/>
    <w:rsid w:val="00A25924"/>
    <w:rsid w:val="00A2646B"/>
    <w:rsid w:val="00A26E7C"/>
    <w:rsid w:val="00A3239F"/>
    <w:rsid w:val="00A32B24"/>
    <w:rsid w:val="00A34789"/>
    <w:rsid w:val="00A3507D"/>
    <w:rsid w:val="00A356ED"/>
    <w:rsid w:val="00A42A6D"/>
    <w:rsid w:val="00A440B7"/>
    <w:rsid w:val="00A5122F"/>
    <w:rsid w:val="00A72F0E"/>
    <w:rsid w:val="00A77795"/>
    <w:rsid w:val="00A7798E"/>
    <w:rsid w:val="00A85E74"/>
    <w:rsid w:val="00A95DBF"/>
    <w:rsid w:val="00A9782D"/>
    <w:rsid w:val="00AA68D9"/>
    <w:rsid w:val="00AB0D5F"/>
    <w:rsid w:val="00AB6875"/>
    <w:rsid w:val="00AD2BE0"/>
    <w:rsid w:val="00AD5461"/>
    <w:rsid w:val="00AD74FF"/>
    <w:rsid w:val="00AF17AA"/>
    <w:rsid w:val="00AF1911"/>
    <w:rsid w:val="00B07498"/>
    <w:rsid w:val="00B2182C"/>
    <w:rsid w:val="00B24E87"/>
    <w:rsid w:val="00B506D2"/>
    <w:rsid w:val="00B55080"/>
    <w:rsid w:val="00B61D98"/>
    <w:rsid w:val="00B631AC"/>
    <w:rsid w:val="00B6406C"/>
    <w:rsid w:val="00B70043"/>
    <w:rsid w:val="00B708A2"/>
    <w:rsid w:val="00B72C4C"/>
    <w:rsid w:val="00B733EA"/>
    <w:rsid w:val="00B73749"/>
    <w:rsid w:val="00B81526"/>
    <w:rsid w:val="00B8358A"/>
    <w:rsid w:val="00B854A2"/>
    <w:rsid w:val="00B8763C"/>
    <w:rsid w:val="00BA1E17"/>
    <w:rsid w:val="00BA24BD"/>
    <w:rsid w:val="00BB1FFD"/>
    <w:rsid w:val="00BC01FA"/>
    <w:rsid w:val="00BC0510"/>
    <w:rsid w:val="00BC31F8"/>
    <w:rsid w:val="00BD2DFB"/>
    <w:rsid w:val="00BE0F55"/>
    <w:rsid w:val="00BE5974"/>
    <w:rsid w:val="00BE5BF6"/>
    <w:rsid w:val="00C024C8"/>
    <w:rsid w:val="00C051D1"/>
    <w:rsid w:val="00C110BA"/>
    <w:rsid w:val="00C14B48"/>
    <w:rsid w:val="00C1772C"/>
    <w:rsid w:val="00C33ACB"/>
    <w:rsid w:val="00C40ACD"/>
    <w:rsid w:val="00C40DF3"/>
    <w:rsid w:val="00C8367C"/>
    <w:rsid w:val="00C8576E"/>
    <w:rsid w:val="00C866A3"/>
    <w:rsid w:val="00C91583"/>
    <w:rsid w:val="00C96E9B"/>
    <w:rsid w:val="00CA6C66"/>
    <w:rsid w:val="00CB03B4"/>
    <w:rsid w:val="00CB3E44"/>
    <w:rsid w:val="00CB72EB"/>
    <w:rsid w:val="00CC26C1"/>
    <w:rsid w:val="00CC2DD1"/>
    <w:rsid w:val="00CC5CCA"/>
    <w:rsid w:val="00CF2DDE"/>
    <w:rsid w:val="00CF5CD4"/>
    <w:rsid w:val="00CF6B86"/>
    <w:rsid w:val="00D05270"/>
    <w:rsid w:val="00D146D3"/>
    <w:rsid w:val="00D27066"/>
    <w:rsid w:val="00D33843"/>
    <w:rsid w:val="00D402F9"/>
    <w:rsid w:val="00D4226E"/>
    <w:rsid w:val="00D60234"/>
    <w:rsid w:val="00D716BA"/>
    <w:rsid w:val="00D73747"/>
    <w:rsid w:val="00D82628"/>
    <w:rsid w:val="00D86BD4"/>
    <w:rsid w:val="00D86FEE"/>
    <w:rsid w:val="00D90364"/>
    <w:rsid w:val="00D949DB"/>
    <w:rsid w:val="00D95D8B"/>
    <w:rsid w:val="00DA7FD3"/>
    <w:rsid w:val="00DB30CB"/>
    <w:rsid w:val="00DB5D1B"/>
    <w:rsid w:val="00DC60E4"/>
    <w:rsid w:val="00DD0F4F"/>
    <w:rsid w:val="00DE7C09"/>
    <w:rsid w:val="00DE7C77"/>
    <w:rsid w:val="00DF20EF"/>
    <w:rsid w:val="00DF3AC6"/>
    <w:rsid w:val="00E008DB"/>
    <w:rsid w:val="00E00A15"/>
    <w:rsid w:val="00E052A8"/>
    <w:rsid w:val="00E06385"/>
    <w:rsid w:val="00E20F22"/>
    <w:rsid w:val="00E33C7F"/>
    <w:rsid w:val="00E35E47"/>
    <w:rsid w:val="00E4201F"/>
    <w:rsid w:val="00E67B1D"/>
    <w:rsid w:val="00E775EE"/>
    <w:rsid w:val="00E83835"/>
    <w:rsid w:val="00E8394B"/>
    <w:rsid w:val="00E87AA3"/>
    <w:rsid w:val="00E9673F"/>
    <w:rsid w:val="00EA626A"/>
    <w:rsid w:val="00EA6606"/>
    <w:rsid w:val="00EB5508"/>
    <w:rsid w:val="00EC7062"/>
    <w:rsid w:val="00F02B48"/>
    <w:rsid w:val="00F2009D"/>
    <w:rsid w:val="00F23692"/>
    <w:rsid w:val="00F261AA"/>
    <w:rsid w:val="00F45853"/>
    <w:rsid w:val="00F56973"/>
    <w:rsid w:val="00F7260A"/>
    <w:rsid w:val="00F83625"/>
    <w:rsid w:val="00F840A4"/>
    <w:rsid w:val="00FA6840"/>
    <w:rsid w:val="00FB2C60"/>
    <w:rsid w:val="00FC5706"/>
    <w:rsid w:val="00FE184D"/>
    <w:rsid w:val="00FE25D6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0F9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E30"/>
  </w:style>
  <w:style w:type="paragraph" w:styleId="Footer">
    <w:name w:val="footer"/>
    <w:basedOn w:val="Normal"/>
    <w:link w:val="FooterChar"/>
    <w:uiPriority w:val="99"/>
    <w:unhideWhenUsed/>
    <w:rsid w:val="00936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E30"/>
  </w:style>
  <w:style w:type="paragraph" w:styleId="ListParagraph">
    <w:name w:val="List Paragraph"/>
    <w:basedOn w:val="Normal"/>
    <w:uiPriority w:val="34"/>
    <w:qFormat/>
    <w:rsid w:val="00FE25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E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4712"/>
    <w:pPr>
      <w:spacing w:before="100" w:beforeAutospacing="1" w:after="100" w:afterAutospacing="1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Vik, Jorgen</cp:lastModifiedBy>
  <cp:revision>11</cp:revision>
  <cp:lastPrinted>2023-06-22T17:46:00Z</cp:lastPrinted>
  <dcterms:created xsi:type="dcterms:W3CDTF">2024-07-13T22:32:00Z</dcterms:created>
  <dcterms:modified xsi:type="dcterms:W3CDTF">2024-07-22T18:30:00Z</dcterms:modified>
</cp:coreProperties>
</file>